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260283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Goa, India, 9-13 February 2026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Discussion paper on </w:t>
      </w:r>
      <w:r>
        <w:rPr>
          <w:rFonts w:hint="eastAsia" w:ascii="Arial" w:hAnsi="Arial" w:cs="Arial"/>
          <w:b/>
          <w:lang w:val="en-US" w:eastAsia="zh-CN"/>
        </w:rPr>
        <w:t xml:space="preserve">management </w:t>
      </w:r>
      <w:bookmarkStart w:id="4" w:name="_GoBack"/>
      <w:bookmarkEnd w:id="4"/>
      <w:r>
        <w:rPr>
          <w:rFonts w:hint="eastAsia" w:ascii="Arial" w:hAnsi="Arial" w:cs="Arial"/>
          <w:b/>
          <w:lang w:val="en-US" w:eastAsia="zh-CN"/>
        </w:rPr>
        <w:t>of Ambient IoT features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eastAsia" w:ascii="Arial" w:hAnsi="Arial" w:eastAsia="宋体"/>
          <w:b/>
          <w:lang w:val="en-US" w:eastAsia="zh-CN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Discussion, Endorsement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numPr>
          <w:ilvl w:val="0"/>
          <w:numId w:val="4"/>
        </w:numPr>
        <w:rPr>
          <w:color w:val="auto"/>
        </w:rPr>
      </w:pPr>
      <w:r>
        <w:t>3GPP </w:t>
      </w:r>
      <w:r>
        <w:rPr>
          <w:rFonts w:eastAsia="宋体"/>
        </w:rPr>
        <w:t>TR</w:t>
      </w:r>
      <w:r>
        <w:t> </w:t>
      </w:r>
      <w:r>
        <w:rPr>
          <w:rFonts w:eastAsia="宋体"/>
        </w:rPr>
        <w:t>38.848</w:t>
      </w:r>
      <w:r>
        <w:t>: "Technical Specification Group Radio Access Network; Study on Ambient IoT (Internet of Things) in RAN".</w:t>
      </w:r>
    </w:p>
    <w:p>
      <w:pPr>
        <w:pStyle w:val="132"/>
        <w:numPr>
          <w:ilvl w:val="0"/>
          <w:numId w:val="4"/>
        </w:numPr>
        <w:rPr>
          <w:color w:val="auto"/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3GPP TR 38.769</w:t>
      </w:r>
      <w:r>
        <w:rPr>
          <w:lang w:eastAsia="zh-CN"/>
        </w:rPr>
        <w:t xml:space="preserve">: </w:t>
      </w:r>
      <w:r>
        <w:t>"Study on solutions for ambient IoT (Internet of Things) (</w:t>
      </w:r>
      <w:r>
        <w:rPr>
          <w:rStyle w:val="119"/>
        </w:rPr>
        <w:t xml:space="preserve">Release </w:t>
      </w:r>
      <w:bookmarkStart w:id="0" w:name="specRelease"/>
      <w:r>
        <w:rPr>
          <w:rStyle w:val="119"/>
        </w:rPr>
        <w:t>19</w:t>
      </w:r>
      <w:bookmarkEnd w:id="0"/>
      <w:r>
        <w:t>)</w:t>
      </w:r>
    </w:p>
    <w:p>
      <w:pPr>
        <w:pStyle w:val="132"/>
        <w:numPr>
          <w:ilvl w:val="0"/>
          <w:numId w:val="4"/>
        </w:numPr>
        <w:rPr>
          <w:color w:val="auto"/>
        </w:rPr>
      </w:pPr>
      <w:r>
        <w:rPr>
          <w:rFonts w:hint="eastAsia"/>
          <w:color w:val="auto"/>
        </w:rPr>
        <w:t>R3-258882 AIOT Ph2_38.300 BL CR</w:t>
      </w:r>
    </w:p>
    <w:p>
      <w:pPr>
        <w:pStyle w:val="132"/>
        <w:numPr>
          <w:ilvl w:val="0"/>
          <w:numId w:val="4"/>
        </w:numPr>
        <w:rPr>
          <w:color w:val="auto"/>
        </w:rPr>
      </w:pPr>
      <w:r>
        <w:rPr>
          <w:rFonts w:hint="eastAsia"/>
          <w:color w:val="auto"/>
        </w:rPr>
        <w:t>3GPP TR 23.700-30</w:t>
      </w:r>
      <w:r>
        <w:rPr>
          <w:rFonts w:hint="eastAsia"/>
          <w:color w:val="auto"/>
          <w:lang w:val="en-US" w:eastAsia="zh-CN"/>
        </w:rPr>
        <w:t xml:space="preserve"> Study on Architecture support of Ambient power-enabled Internet of Things (AIoT); Phase 2.</w:t>
      </w:r>
    </w:p>
    <w:p>
      <w:pPr>
        <w:pStyle w:val="132"/>
        <w:numPr>
          <w:ilvl w:val="0"/>
          <w:numId w:val="4"/>
        </w:numPr>
        <w:rPr>
          <w:color w:val="auto"/>
        </w:rPr>
      </w:pPr>
      <w:r>
        <w:rPr>
          <w:rFonts w:hint="eastAsia"/>
          <w:color w:val="auto"/>
        </w:rPr>
        <w:t>3GPP TS 28.552</w:t>
      </w:r>
      <w:r>
        <w:rPr>
          <w:rFonts w:hint="eastAsia"/>
          <w:color w:val="auto"/>
          <w:lang w:val="en-US" w:eastAsia="zh-CN"/>
        </w:rPr>
        <w:t xml:space="preserve">: </w:t>
      </w:r>
      <w:r>
        <w:t>"</w:t>
      </w:r>
      <w:r>
        <w:rPr>
          <w:rFonts w:hint="eastAsia"/>
        </w:rPr>
        <w:t>Management and orchestration;5G performance measurements</w:t>
      </w:r>
      <w:r>
        <w:rPr>
          <w:rFonts w:hint="eastAsia"/>
          <w:lang w:val="en-US" w:eastAsia="zh-CN"/>
        </w:rPr>
        <w:t>(</w:t>
      </w:r>
      <w:r>
        <w:rPr>
          <w:rStyle w:val="119"/>
        </w:rPr>
        <w:t>Release 20</w:t>
      </w:r>
      <w:r>
        <w:rPr>
          <w:rFonts w:hint="eastAsia"/>
          <w:lang w:val="en-US" w:eastAsia="zh-CN"/>
        </w:rPr>
        <w:t>)</w:t>
      </w:r>
      <w:r>
        <w:t>"</w:t>
      </w:r>
      <w:r>
        <w:rPr>
          <w:rFonts w:hint="eastAsia"/>
          <w:lang w:val="en-US" w:eastAsia="zh-CN"/>
        </w:rPr>
        <w:t>.</w:t>
      </w:r>
    </w:p>
    <w:p>
      <w:pPr>
        <w:pStyle w:val="132"/>
        <w:numPr>
          <w:ilvl w:val="0"/>
          <w:numId w:val="4"/>
        </w:numPr>
        <w:rPr>
          <w:color w:val="auto"/>
        </w:rPr>
      </w:pPr>
      <w:r>
        <w:t>3GPP RP-251885: "New WID on Solutions for Ambient IoT (Internet of Things) in NR Phase 2".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pStyle w:val="4"/>
        <w:rPr>
          <w:rFonts w:hint="eastAsia"/>
        </w:rPr>
      </w:pPr>
      <w:r>
        <w:t>3.1</w:t>
      </w:r>
      <w:r>
        <w:tab/>
      </w:r>
      <w:r>
        <w:t>Progress in SA and RAN</w:t>
      </w:r>
    </w:p>
    <w:p>
      <w:pPr>
        <w:jc w:val="both"/>
        <w:rPr>
          <w:rFonts w:hint="default"/>
          <w:b/>
          <w:highlight w:val="none"/>
          <w:lang w:val="en-US" w:eastAsia="zh-CN"/>
        </w:rPr>
      </w:pPr>
      <w:r>
        <w:rPr>
          <w:b/>
          <w:highlight w:val="none"/>
          <w:lang w:eastAsia="zh-CN"/>
        </w:rPr>
        <w:t>Progress in SA</w:t>
      </w:r>
    </w:p>
    <w:p>
      <w:pPr>
        <w:jc w:val="both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SA5 has already initiated support for AIoT Deployment Scenario 1 and Topology 1 in </w:t>
      </w:r>
      <w:r>
        <w:rPr>
          <w:rFonts w:hint="eastAsia" w:eastAsia="宋体"/>
          <w:i w:val="0"/>
          <w:iCs/>
          <w:lang w:val="en-US" w:eastAsia="zh-CN"/>
        </w:rPr>
        <w:t>Rel-19</w:t>
      </w:r>
      <w:r>
        <w:rPr>
          <w:rFonts w:hint="eastAsia"/>
          <w:highlight w:val="none"/>
          <w:lang w:val="en-US" w:eastAsia="zh-CN"/>
        </w:rPr>
        <w:t>.</w:t>
      </w:r>
    </w:p>
    <w:p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3GPP TR 23.700-30[4] developed by SA2 provides guidance to SA5, which encompasses the management support for AIoT services under the RRC-based option for UE Reader connectivity, as well as the management support for </w:t>
      </w:r>
      <w:r>
        <w:rPr>
          <w:rFonts w:ascii="Times New Roman" w:hAnsi="Times New Roman" w:eastAsia="等线" w:cs="Times New Roman"/>
        </w:rPr>
        <w:t>featur</w:t>
      </w:r>
      <w:r>
        <w:rPr>
          <w:rFonts w:hint="eastAsia" w:eastAsia="等线" w:cs="Times New Roman"/>
          <w:lang w:val="en-US" w:eastAsia="zh-CN"/>
        </w:rPr>
        <w:t xml:space="preserve">e of </w:t>
      </w:r>
      <w:r>
        <w:rPr>
          <w:rFonts w:hint="eastAsia"/>
          <w:highlight w:val="none"/>
          <w:lang w:val="en-US" w:eastAsia="zh-CN"/>
        </w:rPr>
        <w:t>DO-A capable AIoT devices.</w:t>
      </w:r>
    </w:p>
    <w:p>
      <w:pPr>
        <w:jc w:val="both"/>
        <w:rPr>
          <w:b/>
          <w:highlight w:val="none"/>
          <w:lang w:val="en-US" w:eastAsia="zh-CN"/>
        </w:rPr>
      </w:pPr>
      <w:r>
        <w:rPr>
          <w:rFonts w:hint="eastAsia"/>
          <w:b/>
          <w:highlight w:val="none"/>
          <w:lang w:val="en-US" w:eastAsia="zh-CN"/>
        </w:rPr>
        <w:t>P</w:t>
      </w:r>
      <w:r>
        <w:rPr>
          <w:b/>
          <w:highlight w:val="none"/>
          <w:lang w:val="en-US" w:eastAsia="zh-CN"/>
        </w:rPr>
        <w:t>rogress in RAN</w:t>
      </w:r>
    </w:p>
    <w:p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R</w:t>
      </w:r>
      <w:r>
        <w:rPr>
          <w:highlight w:val="none"/>
          <w:lang w:val="en-US" w:eastAsia="zh-CN"/>
        </w:rPr>
        <w:t>AN#10</w:t>
      </w:r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val="en-US" w:eastAsia="zh-CN"/>
        </w:rPr>
        <w:t xml:space="preserve"> approved the RAN new WID on Rel-</w:t>
      </w:r>
      <w:r>
        <w:rPr>
          <w:rFonts w:hint="eastAsia"/>
          <w:highlight w:val="none"/>
          <w:lang w:val="en-US" w:eastAsia="zh-CN"/>
        </w:rPr>
        <w:t>20</w:t>
      </w:r>
      <w:r>
        <w:rPr>
          <w:highlight w:val="none"/>
          <w:lang w:val="en-US" w:eastAsia="zh-CN"/>
        </w:rPr>
        <w:t xml:space="preserve"> Ambient IoT[</w:t>
      </w:r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>,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with scope including Deployment Scenario 2, Topology 2, and enhancements for active devices and outdoor scenarios.</w:t>
      </w:r>
    </w:p>
    <w:p>
      <w:pPr>
        <w:pStyle w:val="4"/>
      </w:pPr>
      <w:r>
        <w:t>3.2</w:t>
      </w:r>
      <w:r>
        <w:tab/>
      </w:r>
      <w:r>
        <w:rPr>
          <w:rFonts w:hint="eastAsia"/>
          <w:lang w:val="en-US" w:eastAsia="zh-CN"/>
        </w:rPr>
        <w:t>Enhancement on management</w:t>
      </w:r>
      <w:r>
        <w:t xml:space="preserve"> supporting AIoT </w:t>
      </w:r>
    </w:p>
    <w:p>
      <w:pPr>
        <w:pStyle w:val="5"/>
      </w:pPr>
      <w:r>
        <w:t>3.2.1</w:t>
      </w:r>
      <w:r>
        <w:tab/>
      </w:r>
      <w:r>
        <w:t>NR NRM enhancement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Topology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represents the way where the Ambient IoT device communicates bidirectionally with an intermediate node between the device and </w:t>
      </w:r>
      <w:r>
        <w:rPr>
          <w:rFonts w:hint="eastAsia"/>
          <w:lang w:val="en-US" w:eastAsia="zh-CN"/>
        </w:rPr>
        <w:t xml:space="preserve">a </w:t>
      </w:r>
      <w:r>
        <w:rPr>
          <w:rFonts w:hint="eastAsia"/>
          <w:lang w:eastAsia="zh-CN"/>
        </w:rPr>
        <w:t>base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station introduced in TR 38.848 [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]. The following is a logical system architecture defined in TR 38.769 [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].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</w:t>
      </w:r>
    </w:p>
    <w:p>
      <w:pPr>
        <w:pStyle w:val="5"/>
        <w:rPr>
          <w:rFonts w:eastAsia="等线"/>
          <w:lang w:eastAsia="zh-CN"/>
        </w:rPr>
      </w:pPr>
      <w:bookmarkStart w:id="1" w:name="_Toc187176143"/>
      <w:r>
        <w:rPr>
          <w:rFonts w:eastAsia="等线"/>
          <w:lang w:eastAsia="zh-CN"/>
        </w:rPr>
        <w:t>6.4.2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Support of Topology 2</w:t>
      </w:r>
      <w:bookmarkEnd w:id="1"/>
    </w:p>
    <w:p>
      <w:pPr>
        <w:overflowPunct/>
        <w:autoSpaceDE/>
        <w:autoSpaceDN/>
        <w:adjustRightInd/>
        <w:textAlignment w:val="auto"/>
        <w:rPr>
          <w:rFonts w:eastAsiaTheme="minorEastAsia"/>
          <w:i/>
          <w:iCs/>
          <w:lang w:eastAsia="en-US"/>
        </w:rPr>
      </w:pPr>
      <w:r>
        <w:rPr>
          <w:rFonts w:eastAsiaTheme="minorEastAsia"/>
          <w:i/>
          <w:iCs/>
          <w:lang w:eastAsia="en-US"/>
        </w:rPr>
        <w:t xml:space="preserve">Figure 6.4.2-1 depicts a logical system architecture for topology 2, </w:t>
      </w:r>
      <w:r>
        <w:rPr>
          <w:rFonts w:eastAsiaTheme="minorEastAsia"/>
          <w:i/>
          <w:iCs/>
          <w:lang w:eastAsia="zh-CN"/>
        </w:rPr>
        <w:t xml:space="preserve">where </w:t>
      </w:r>
      <w:r>
        <w:rPr>
          <w:rFonts w:eastAsiaTheme="minorEastAsia"/>
          <w:i/>
          <w:iCs/>
          <w:lang w:eastAsia="en-US"/>
        </w:rPr>
        <w:t xml:space="preserve">the Common reader function </w:t>
      </w:r>
      <w:r>
        <w:rPr>
          <w:rFonts w:eastAsiaTheme="minorEastAsia"/>
          <w:i/>
          <w:iCs/>
          <w:lang w:eastAsia="zh-CN"/>
        </w:rPr>
        <w:t>is</w:t>
      </w:r>
      <w:r>
        <w:rPr>
          <w:rFonts w:eastAsiaTheme="minorEastAsia"/>
          <w:i/>
          <w:iCs/>
          <w:lang w:eastAsia="en-US"/>
        </w:rPr>
        <w:t xml:space="preserve"> located at </w:t>
      </w:r>
      <w:r>
        <w:rPr>
          <w:rFonts w:eastAsiaTheme="minorEastAsia"/>
          <w:i/>
          <w:iCs/>
          <w:lang w:eastAsia="zh-CN"/>
        </w:rPr>
        <w:t xml:space="preserve">an </w:t>
      </w:r>
      <w:r>
        <w:rPr>
          <w:rFonts w:eastAsiaTheme="minorEastAsia"/>
          <w:i/>
          <w:iCs/>
          <w:lang w:eastAsia="en-US"/>
        </w:rPr>
        <w:t xml:space="preserve">A-IoT-enabled UE, and the A-IoT RAN node function </w:t>
      </w:r>
      <w:r>
        <w:rPr>
          <w:rFonts w:eastAsiaTheme="minorEastAsia"/>
          <w:i/>
          <w:iCs/>
          <w:lang w:eastAsia="zh-CN"/>
        </w:rPr>
        <w:t>is</w:t>
      </w:r>
      <w:r>
        <w:rPr>
          <w:rFonts w:eastAsiaTheme="minorEastAsia"/>
          <w:i/>
          <w:iCs/>
          <w:lang w:eastAsia="en-US"/>
        </w:rPr>
        <w:t xml:space="preserve"> located at </w:t>
      </w:r>
      <w:r>
        <w:rPr>
          <w:rFonts w:eastAsiaTheme="minorEastAsia"/>
          <w:i/>
          <w:iCs/>
          <w:lang w:eastAsia="zh-CN"/>
        </w:rPr>
        <w:t>an</w:t>
      </w:r>
      <w:r>
        <w:rPr>
          <w:rFonts w:eastAsiaTheme="minorEastAsia"/>
          <w:i/>
          <w:iCs/>
          <w:lang w:eastAsia="en-US"/>
        </w:rPr>
        <w:t xml:space="preserve"> A-IoT-enabled gNB.</w:t>
      </w:r>
    </w:p>
    <w:p>
      <w:pPr>
        <w:overflowPunct/>
        <w:autoSpaceDE/>
        <w:autoSpaceDN/>
        <w:adjustRightInd/>
        <w:textAlignment w:val="auto"/>
        <w:rPr>
          <w:rFonts w:eastAsiaTheme="minorEastAsia"/>
          <w:i/>
          <w:iCs/>
          <w:lang w:eastAsia="en-US"/>
        </w:rPr>
      </w:pPr>
      <w:r>
        <w:rPr>
          <w:rFonts w:eastAsiaTheme="minorEastAsia"/>
          <w:i/>
          <w:iCs/>
          <w:lang w:eastAsia="en-US"/>
        </w:rPr>
        <w:t>The following definitions apply:</w:t>
      </w:r>
    </w:p>
    <w:p>
      <w:pPr>
        <w:keepLines/>
        <w:overflowPunct/>
        <w:autoSpaceDE/>
        <w:autoSpaceDN/>
        <w:adjustRightInd/>
        <w:ind w:left="1988" w:hanging="1704"/>
        <w:textAlignment w:val="auto"/>
        <w:rPr>
          <w:rFonts w:eastAsia="宋体"/>
          <w:b/>
          <w:bCs/>
          <w:i/>
          <w:iCs/>
          <w:lang w:eastAsia="en-US"/>
        </w:rPr>
      </w:pPr>
      <w:r>
        <w:rPr>
          <w:rFonts w:eastAsia="宋体"/>
          <w:b/>
          <w:bCs/>
          <w:i/>
          <w:iCs/>
          <w:lang w:eastAsia="en-US"/>
        </w:rPr>
        <w:t>A-IoT-enabled gNB</w:t>
      </w:r>
      <w:r>
        <w:rPr>
          <w:rFonts w:eastAsiaTheme="minorEastAsia"/>
          <w:i/>
          <w:iCs/>
          <w:lang w:eastAsia="en-US"/>
        </w:rPr>
        <w:t>:</w:t>
      </w:r>
      <w:r>
        <w:rPr>
          <w:rFonts w:eastAsiaTheme="minorEastAsia"/>
          <w:i/>
          <w:iCs/>
          <w:lang w:eastAsia="en-US"/>
        </w:rPr>
        <w:tab/>
      </w:r>
      <w:r>
        <w:rPr>
          <w:rFonts w:eastAsiaTheme="minorEastAsia"/>
          <w:i/>
          <w:iCs/>
          <w:lang w:eastAsia="en-US"/>
        </w:rPr>
        <w:t>A gNB supporting A-IoT RAN node function in topology 2, which is able to communicate with the A-IoT-enabled UE via NR Uu interface.</w:t>
      </w:r>
      <w:r>
        <w:rPr>
          <w:rFonts w:eastAsia="宋体"/>
          <w:b/>
          <w:bCs/>
          <w:i/>
          <w:iCs/>
          <w:lang w:eastAsia="en-US"/>
        </w:rPr>
        <w:t xml:space="preserve"> </w:t>
      </w:r>
    </w:p>
    <w:p>
      <w:pPr>
        <w:keepLines/>
        <w:overflowPunct/>
        <w:autoSpaceDE/>
        <w:autoSpaceDN/>
        <w:adjustRightInd/>
        <w:ind w:left="1988" w:hanging="1704"/>
        <w:textAlignment w:val="auto"/>
        <w:rPr>
          <w:rFonts w:eastAsiaTheme="minorEastAsia"/>
          <w:i/>
          <w:iCs/>
          <w:lang w:eastAsia="en-US"/>
        </w:rPr>
      </w:pPr>
      <w:r>
        <w:rPr>
          <w:rFonts w:eastAsia="宋体"/>
          <w:b/>
          <w:bCs/>
          <w:i/>
          <w:iCs/>
          <w:lang w:eastAsia="en-US"/>
        </w:rPr>
        <w:t>A-IoT-enabled UE</w:t>
      </w:r>
      <w:r>
        <w:rPr>
          <w:rFonts w:eastAsiaTheme="minorEastAsia"/>
          <w:i/>
          <w:iCs/>
          <w:lang w:eastAsia="en-US"/>
        </w:rPr>
        <w:t>:</w:t>
      </w:r>
      <w:r>
        <w:rPr>
          <w:rFonts w:eastAsiaTheme="minorEastAsia"/>
          <w:i/>
          <w:iCs/>
          <w:lang w:eastAsia="en-US"/>
        </w:rPr>
        <w:tab/>
      </w:r>
      <w:r>
        <w:rPr>
          <w:rFonts w:eastAsiaTheme="minorEastAsia"/>
          <w:i/>
          <w:iCs/>
          <w:lang w:eastAsia="en-US"/>
        </w:rPr>
        <w:t>A UE supporting Common reader function, which is able to communicate with the A-IoTdevice via the A-IoT radio interface.</w:t>
      </w:r>
    </w:p>
    <w:p>
      <w:pPr>
        <w:keepLines/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eastAsiaTheme="minorEastAsia"/>
          <w:lang w:eastAsia="en-US"/>
        </w:rPr>
      </w:pPr>
      <w:r>
        <w:rPr>
          <w:rFonts w:ascii="Arial" w:hAnsi="Arial" w:eastAsiaTheme="minorEastAsia"/>
          <w:b/>
          <w:lang w:eastAsia="en-US"/>
        </w:rPr>
        <w:object>
          <v:shape id="_x0000_i1025" o:spt="75" type="#_x0000_t75" style="height:60pt;width:47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等线"/>
          <w:bCs/>
          <w:i/>
          <w:iCs/>
          <w:lang w:eastAsia="en-US"/>
        </w:rPr>
      </w:pPr>
      <w:r>
        <w:rPr>
          <w:rFonts w:eastAsia="等线"/>
          <w:bCs/>
          <w:i/>
          <w:iCs/>
          <w:lang w:eastAsia="en-US"/>
        </w:rPr>
        <w:t>Figure 6.4.2-1 Logical system architecture for topology 2</w:t>
      </w:r>
    </w:p>
    <w:p>
      <w:pPr>
        <w:overflowPunct/>
        <w:autoSpaceDE/>
        <w:autoSpaceDN/>
        <w:adjustRightInd/>
        <w:textAlignment w:val="auto"/>
        <w:rPr>
          <w:rFonts w:eastAsiaTheme="minorEastAsia"/>
          <w:i/>
          <w:iCs/>
          <w:lang w:eastAsia="en-US"/>
        </w:rPr>
      </w:pPr>
      <w:r>
        <w:rPr>
          <w:rFonts w:eastAsiaTheme="minorEastAsia"/>
          <w:i/>
          <w:iCs/>
          <w:lang w:eastAsia="zh-CN"/>
        </w:rPr>
        <w:t>For Topology 2, architecture and protocol aspects of split RAN architecture are not studied.</w:t>
      </w:r>
    </w:p>
    <w:p>
      <w:pPr>
        <w:overflowPunct/>
        <w:autoSpaceDE/>
        <w:autoSpaceDN/>
        <w:adjustRightInd/>
        <w:textAlignment w:val="auto"/>
        <w:rPr>
          <w:rFonts w:eastAsiaTheme="minorEastAsia"/>
          <w:i/>
          <w:iCs/>
          <w:lang w:eastAsia="en-US"/>
        </w:rPr>
      </w:pPr>
      <w:r>
        <w:rPr>
          <w:rFonts w:eastAsiaTheme="minorEastAsia"/>
          <w:i/>
          <w:iCs/>
          <w:lang w:eastAsia="en-US"/>
        </w:rPr>
        <w:t xml:space="preserve">In Topology 2, XX interface is NG interface. </w:t>
      </w:r>
    </w:p>
    <w:p>
      <w:pPr>
        <w:keepLines/>
        <w:overflowPunct/>
        <w:autoSpaceDE/>
        <w:autoSpaceDN/>
        <w:adjustRightInd/>
        <w:spacing w:after="240"/>
        <w:jc w:val="both"/>
        <w:textAlignment w:val="auto"/>
        <w:rPr>
          <w:rFonts w:eastAsiaTheme="minorEastAsia"/>
          <w:i/>
          <w:iCs/>
          <w:lang w:eastAsia="en-US"/>
        </w:rPr>
      </w:pPr>
      <w:r>
        <w:rPr>
          <w:rFonts w:eastAsiaTheme="minorEastAsia"/>
          <w:i/>
          <w:iCs/>
          <w:lang w:eastAsia="en-US"/>
        </w:rPr>
        <w:t>In Topology 2, the RAN architecture should enable the coordination of the usage of the A-IoT radio resources among readers.</w:t>
      </w:r>
    </w:p>
    <w:p>
      <w:pPr>
        <w:keepLines/>
        <w:overflowPunct/>
        <w:autoSpaceDE/>
        <w:autoSpaceDN/>
        <w:adjustRightInd/>
        <w:spacing w:after="24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eastAsiaTheme="minorEastAsia"/>
          <w:i/>
          <w:iCs/>
          <w:lang w:eastAsia="en-US"/>
        </w:rPr>
        <w:t>An A-IoT-enabled gNB could support both topology 1 and topology 2, this is an implementation matter.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"</w:t>
      </w:r>
    </w:p>
    <w:p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bservation#1</w:t>
      </w:r>
      <w:r>
        <w:rPr>
          <w:lang w:eastAsia="zh-CN"/>
        </w:rPr>
        <w:t>: The logical system architecture is composed of the RAN supporting A-IoT feature which performs</w:t>
      </w:r>
      <w:r>
        <w:rPr>
          <w:rFonts w:hint="eastAsia"/>
          <w:lang w:val="en-US" w:eastAsia="zh-CN"/>
        </w:rPr>
        <w:t xml:space="preserve"> by gNB-readers or UE-readers.</w:t>
      </w:r>
    </w:p>
    <w:p>
      <w:pPr>
        <w:jc w:val="both"/>
        <w:rPr>
          <w:rFonts w:hint="default"/>
          <w:lang w:val="en-US" w:eastAsia="zh-CN"/>
        </w:rPr>
      </w:pPr>
      <w:r>
        <w:rPr>
          <w:b/>
          <w:lang w:eastAsia="zh-CN"/>
        </w:rPr>
        <w:t>Potential management aspects#1</w:t>
      </w:r>
      <w:r>
        <w:rPr>
          <w:lang w:eastAsia="zh-CN"/>
        </w:rPr>
        <w:t xml:space="preserve">: According to Observation#1, it is proposed to enhance NR NRM to configure the RAN with </w:t>
      </w:r>
      <w:r>
        <w:rPr>
          <w:rFonts w:hint="eastAsia"/>
          <w:lang w:val="en-US" w:eastAsia="zh-CN"/>
        </w:rPr>
        <w:t>gNB-readers or UE-readers</w:t>
      </w:r>
      <w:r>
        <w:rPr>
          <w:lang w:eastAsia="zh-CN"/>
        </w:rPr>
        <w:t>.</w:t>
      </w:r>
    </w:p>
    <w:p>
      <w:pPr>
        <w:pStyle w:val="5"/>
        <w:rPr>
          <w:lang w:eastAsia="zh-CN"/>
        </w:rPr>
      </w:pPr>
      <w:r>
        <w:t>3.2.2</w:t>
      </w:r>
      <w:r>
        <w:tab/>
      </w:r>
      <w:r>
        <w:t>5GC NRM enhancement</w:t>
      </w:r>
    </w:p>
    <w:p>
      <w:pPr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SA2 TR 23.700-30[4] concludes that AIoT System Architecture is introduced to support Topology 2. </w:t>
      </w:r>
    </w:p>
    <w:p>
      <w:pPr>
        <w:jc w:val="both"/>
        <w:rPr>
          <w:i/>
        </w:rPr>
      </w:pPr>
      <w:r>
        <w:rPr>
          <w:i/>
        </w:rPr>
        <w:t>"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i/>
          <w:iCs/>
          <w:sz w:val="28"/>
          <w:lang w:val="en-GB" w:eastAsia="en-GB" w:bidi="ar-SA"/>
        </w:rPr>
      </w:pPr>
      <w:bookmarkStart w:id="2" w:name="_Toc215064159"/>
      <w:r>
        <w:rPr>
          <w:rFonts w:ascii="Arial" w:hAnsi="Arial" w:eastAsia="Times New Roman" w:cs="Times New Roman"/>
          <w:i/>
          <w:iCs/>
          <w:sz w:val="28"/>
          <w:lang w:val="en-GB" w:eastAsia="en-GB" w:bidi="ar-SA"/>
        </w:rPr>
        <w:t>7.1.1</w:t>
      </w:r>
      <w:r>
        <w:rPr>
          <w:rFonts w:ascii="Arial" w:hAnsi="Arial" w:eastAsia="Times New Roman" w:cs="Times New Roman"/>
          <w:i/>
          <w:iCs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i/>
          <w:iCs/>
          <w:sz w:val="28"/>
          <w:lang w:val="en-GB" w:eastAsia="en-GB" w:bidi="ar-SA"/>
        </w:rPr>
        <w:t>Agreed Principles for KI#1</w:t>
      </w:r>
      <w:bookmarkEnd w:id="2"/>
    </w:p>
    <w:p>
      <w:pPr>
        <w:overflowPunct/>
        <w:autoSpaceDE/>
        <w:autoSpaceDN/>
        <w:adjustRightInd/>
        <w:textAlignment w:val="auto"/>
        <w:rPr>
          <w:rFonts w:eastAsia="等线"/>
          <w:i/>
          <w:iCs/>
          <w:lang w:eastAsia="en-GB"/>
        </w:rPr>
      </w:pPr>
      <w:r>
        <w:rPr>
          <w:rFonts w:eastAsia="Times New Roman"/>
          <w:i/>
          <w:iCs/>
          <w:lang w:eastAsia="en-GB"/>
        </w:rPr>
        <w:t>'</w:t>
      </w:r>
      <w:r>
        <w:rPr>
          <w:rFonts w:hint="eastAsia" w:eastAsia="等线"/>
          <w:i/>
          <w:iCs/>
          <w:lang w:eastAsia="en-GB"/>
        </w:rPr>
        <w:t xml:space="preserve">Figure 7.1.1-1 depicts the </w:t>
      </w:r>
      <w:r>
        <w:rPr>
          <w:rFonts w:eastAsia="等线"/>
          <w:i/>
          <w:iCs/>
          <w:lang w:eastAsia="en-GB"/>
        </w:rPr>
        <w:t>AIoT System Architecture for Topology 2</w:t>
      </w:r>
      <w:r>
        <w:rPr>
          <w:rFonts w:hint="eastAsia" w:eastAsia="等线"/>
          <w:i/>
          <w:iCs/>
          <w:lang w:eastAsia="en-GB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等线" w:cs="Times New Roman"/>
          <w:b/>
          <w:lang w:val="en-GB" w:eastAsia="en-GB" w:bidi="ar-SA"/>
        </w:rPr>
      </w:pPr>
      <w:r>
        <w:rPr>
          <w:rFonts w:ascii="Arial" w:hAnsi="Arial" w:eastAsia="等线" w:cs="Times New Roman"/>
          <w:b/>
          <w:lang w:val="en-US" w:eastAsia="en-GB" w:bidi="ar-SA"/>
        </w:rPr>
        <w:object>
          <v:shape id="_x0000_i1026" o:spt="75" type="#_x0000_t75" style="height:216pt;width:480.2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等线" w:cs="Times New Roman"/>
          <w:b/>
          <w:i/>
          <w:iCs/>
          <w:lang w:val="en-GB" w:eastAsia="zh-CN" w:bidi="ar-SA"/>
        </w:rPr>
      </w:pPr>
      <w:r>
        <w:rPr>
          <w:rFonts w:hint="eastAsia" w:ascii="Arial" w:hAnsi="Arial" w:eastAsia="等线" w:cs="Times New Roman"/>
          <w:b/>
          <w:i/>
          <w:iCs/>
          <w:lang w:val="en-GB" w:eastAsia="zh-CN" w:bidi="ar-SA"/>
        </w:rPr>
        <w:t xml:space="preserve">Figure 7.1.1-1: </w:t>
      </w:r>
      <w:r>
        <w:rPr>
          <w:rFonts w:ascii="Arial" w:hAnsi="Arial" w:eastAsia="等线" w:cs="Times New Roman"/>
          <w:b/>
          <w:i/>
          <w:iCs/>
          <w:lang w:val="en-GB" w:eastAsia="en-US" w:bidi="ar-SA"/>
        </w:rPr>
        <w:t>AIoT System Architecture</w:t>
      </w:r>
      <w:r>
        <w:rPr>
          <w:rFonts w:hint="eastAsia" w:ascii="Arial" w:hAnsi="Arial" w:eastAsia="等线" w:cs="Times New Roman"/>
          <w:b/>
          <w:i/>
          <w:iCs/>
          <w:lang w:val="en-GB" w:eastAsia="zh-CN" w:bidi="ar-SA"/>
        </w:rPr>
        <w:t xml:space="preserve"> for Topology 2</w:t>
      </w:r>
    </w:p>
    <w:p>
      <w:pPr>
        <w:overflowPunct/>
        <w:autoSpaceDE/>
        <w:autoSpaceDN/>
        <w:adjustRightInd/>
        <w:textAlignment w:val="auto"/>
        <w:rPr>
          <w:rFonts w:eastAsia="等线"/>
          <w:i/>
          <w:iCs/>
          <w:lang w:eastAsia="en-GB"/>
        </w:rPr>
      </w:pPr>
      <w:r>
        <w:rPr>
          <w:rFonts w:eastAsia="等线"/>
          <w:i/>
          <w:iCs/>
          <w:lang w:eastAsia="en-GB"/>
        </w:rPr>
        <w:t>Figure </w:t>
      </w:r>
      <w:r>
        <w:rPr>
          <w:rFonts w:hint="eastAsia" w:eastAsia="等线"/>
          <w:i/>
          <w:iCs/>
          <w:lang w:eastAsia="en-GB"/>
        </w:rPr>
        <w:t>7.1.1-2</w:t>
      </w:r>
      <w:r>
        <w:rPr>
          <w:rFonts w:eastAsia="等线"/>
          <w:i/>
          <w:iCs/>
          <w:lang w:eastAsia="en-GB"/>
        </w:rPr>
        <w:t xml:space="preserve"> depicts the</w:t>
      </w:r>
      <w:r>
        <w:rPr>
          <w:rFonts w:hint="eastAsia" w:eastAsia="等线"/>
          <w:i/>
          <w:iCs/>
          <w:lang w:eastAsia="en-GB"/>
        </w:rPr>
        <w:t xml:space="preserve"> </w:t>
      </w:r>
      <w:r>
        <w:rPr>
          <w:rFonts w:eastAsia="等线"/>
          <w:i/>
          <w:iCs/>
          <w:lang w:eastAsia="en-GB"/>
        </w:rPr>
        <w:t>AIoT system architecture, using the reference point representation.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等线" w:cs="Times New Roman"/>
          <w:b/>
          <w:lang w:val="en-GB" w:eastAsia="zh-CN" w:bidi="ar-SA"/>
        </w:rPr>
      </w:pPr>
      <w:r>
        <w:rPr>
          <w:rFonts w:ascii="Arial" w:hAnsi="Arial" w:eastAsia="等线" w:cs="Times New Roman"/>
          <w:b/>
          <w:lang w:val="en-US" w:eastAsia="zh-CN" w:bidi="ar-SA"/>
        </w:rPr>
        <w:object>
          <v:shape id="_x0000_i1027" o:spt="75" type="#_x0000_t75" style="height:237.75pt;width:293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9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等线" w:cs="Times New Roman"/>
          <w:b/>
          <w:i/>
          <w:iCs/>
          <w:highlight w:val="none"/>
          <w:lang w:val="en-GB" w:eastAsia="en-US" w:bidi="ar-SA"/>
        </w:rPr>
      </w:pPr>
      <w:bookmarkStart w:id="3" w:name="_CRFigure4_2_2_12"/>
      <w:r>
        <w:rPr>
          <w:rFonts w:ascii="Arial" w:hAnsi="Arial" w:eastAsia="等线" w:cs="Times New Roman"/>
          <w:b/>
          <w:i/>
          <w:iCs/>
          <w:highlight w:val="none"/>
          <w:lang w:val="en-GB" w:eastAsia="en-US" w:bidi="ar-SA"/>
        </w:rPr>
        <w:t xml:space="preserve">Figure </w:t>
      </w:r>
      <w:bookmarkEnd w:id="3"/>
      <w:r>
        <w:rPr>
          <w:rFonts w:hint="eastAsia" w:ascii="Arial" w:hAnsi="Arial" w:eastAsia="等线" w:cs="Times New Roman"/>
          <w:b/>
          <w:i/>
          <w:iCs/>
          <w:highlight w:val="none"/>
          <w:lang w:val="en-GB" w:eastAsia="zh-CN" w:bidi="ar-SA"/>
        </w:rPr>
        <w:t>7</w:t>
      </w:r>
      <w:r>
        <w:rPr>
          <w:rFonts w:ascii="Arial" w:hAnsi="Arial" w:eastAsia="等线" w:cs="Times New Roman"/>
          <w:b/>
          <w:i/>
          <w:iCs/>
          <w:highlight w:val="none"/>
          <w:lang w:val="en-GB" w:eastAsia="en-US" w:bidi="ar-SA"/>
        </w:rPr>
        <w:t>.</w:t>
      </w:r>
      <w:r>
        <w:rPr>
          <w:rFonts w:hint="eastAsia" w:ascii="Arial" w:hAnsi="Arial" w:eastAsia="等线" w:cs="Times New Roman"/>
          <w:b/>
          <w:i/>
          <w:iCs/>
          <w:highlight w:val="none"/>
          <w:lang w:val="en-GB" w:eastAsia="zh-CN" w:bidi="ar-SA"/>
        </w:rPr>
        <w:t>1</w:t>
      </w:r>
      <w:r>
        <w:rPr>
          <w:rFonts w:ascii="Arial" w:hAnsi="Arial" w:eastAsia="等线" w:cs="Times New Roman"/>
          <w:b/>
          <w:i/>
          <w:iCs/>
          <w:highlight w:val="none"/>
          <w:lang w:val="en-GB" w:eastAsia="en-US" w:bidi="ar-SA"/>
        </w:rPr>
        <w:t>.</w:t>
      </w:r>
      <w:r>
        <w:rPr>
          <w:rFonts w:hint="eastAsia" w:ascii="Arial" w:hAnsi="Arial" w:eastAsia="等线" w:cs="Times New Roman"/>
          <w:b/>
          <w:i/>
          <w:iCs/>
          <w:highlight w:val="none"/>
          <w:lang w:val="en-GB" w:eastAsia="zh-CN" w:bidi="ar-SA"/>
        </w:rPr>
        <w:t>1</w:t>
      </w:r>
      <w:r>
        <w:rPr>
          <w:rFonts w:ascii="Arial" w:hAnsi="Arial" w:eastAsia="等线" w:cs="Times New Roman"/>
          <w:b/>
          <w:i/>
          <w:iCs/>
          <w:highlight w:val="none"/>
          <w:lang w:val="en-GB" w:eastAsia="en-US" w:bidi="ar-SA"/>
        </w:rPr>
        <w:t xml:space="preserve">-2: AIoT System Architecture </w:t>
      </w:r>
      <w:r>
        <w:rPr>
          <w:rFonts w:hint="eastAsia" w:ascii="Arial" w:hAnsi="Arial" w:eastAsia="等线" w:cs="Times New Roman"/>
          <w:b/>
          <w:i/>
          <w:iCs/>
          <w:highlight w:val="none"/>
          <w:lang w:val="en-GB" w:eastAsia="zh-CN" w:bidi="ar-SA"/>
        </w:rPr>
        <w:t xml:space="preserve">for Topology 2 </w:t>
      </w:r>
      <w:r>
        <w:rPr>
          <w:rFonts w:ascii="Arial" w:hAnsi="Arial" w:eastAsia="等线" w:cs="Times New Roman"/>
          <w:b/>
          <w:i/>
          <w:iCs/>
          <w:highlight w:val="none"/>
          <w:lang w:val="en-GB" w:eastAsia="en-US" w:bidi="ar-SA"/>
        </w:rPr>
        <w:t>in reference point representation</w:t>
      </w:r>
    </w:p>
    <w:p>
      <w:pPr>
        <w:jc w:val="both"/>
        <w:rPr>
          <w:i/>
        </w:rPr>
      </w:pPr>
      <w:r>
        <w:rPr>
          <w:i/>
        </w:rPr>
        <w:t>"</w:t>
      </w:r>
    </w:p>
    <w:p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bservation#</w:t>
      </w:r>
      <w:r>
        <w:rPr>
          <w:rFonts w:hint="eastAsia"/>
          <w:b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AIoT System Architecture for Topology 2 </w:t>
      </w:r>
      <w:r>
        <w:rPr>
          <w:rFonts w:hint="eastAsia"/>
          <w:lang w:val="en-US" w:eastAsia="zh-CN"/>
        </w:rPr>
        <w:t xml:space="preserve">with UE readers </w:t>
      </w:r>
      <w:r>
        <w:rPr>
          <w:lang w:eastAsia="zh-CN"/>
        </w:rPr>
        <w:t>will be introduced in R</w:t>
      </w:r>
      <w:r>
        <w:rPr>
          <w:rFonts w:hint="eastAsia"/>
          <w:lang w:val="en-US" w:eastAsia="zh-CN"/>
        </w:rPr>
        <w:t>el-20</w:t>
      </w:r>
      <w:r>
        <w:rPr>
          <w:lang w:eastAsia="zh-CN"/>
        </w:rPr>
        <w:t>.</w:t>
      </w:r>
    </w:p>
    <w:p>
      <w:pPr>
        <w:jc w:val="both"/>
        <w:rPr>
          <w:lang w:eastAsia="zh-CN"/>
        </w:rPr>
      </w:pPr>
      <w:r>
        <w:rPr>
          <w:b/>
          <w:lang w:eastAsia="zh-CN"/>
        </w:rPr>
        <w:t>Potential management aspects#</w:t>
      </w:r>
      <w:r>
        <w:rPr>
          <w:rFonts w:hint="eastAsia"/>
          <w:b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According to Observation#2, it is proposed to enhance the 5GC NRM to configure certain CN NFs (e.g., AIOTF, AMF, NEF, ADM) that support UE reader</w:t>
      </w:r>
      <w:r>
        <w:rPr>
          <w:rFonts w:hint="eastAsia"/>
          <w:lang w:val="en-US" w:eastAsia="zh-CN"/>
        </w:rPr>
        <w:t xml:space="preserve"> function</w:t>
      </w:r>
      <w:r>
        <w:rPr>
          <w:rFonts w:hint="eastAsia"/>
          <w:lang w:eastAsia="zh-CN"/>
        </w:rPr>
        <w:t>.</w:t>
      </w:r>
    </w:p>
    <w:p>
      <w:pPr>
        <w:jc w:val="both"/>
        <w:rPr>
          <w:lang w:eastAsia="zh-CN"/>
        </w:rPr>
      </w:pPr>
      <w:r>
        <w:rPr>
          <w:rFonts w:hint="eastAsia" w:eastAsia="宋体"/>
          <w:i w:val="0"/>
          <w:iCs/>
          <w:lang w:val="en-US" w:eastAsia="zh-CN"/>
        </w:rPr>
        <w:t>SA2 TR 23.700-</w:t>
      </w:r>
      <w:r>
        <w:rPr>
          <w:rFonts w:hint="eastAsia"/>
          <w:i w:val="0"/>
          <w:iCs/>
          <w:lang w:val="en-US" w:eastAsia="zh-CN"/>
        </w:rPr>
        <w:t>3</w:t>
      </w:r>
      <w:r>
        <w:rPr>
          <w:rFonts w:hint="eastAsia" w:eastAsia="宋体"/>
          <w:i w:val="0"/>
          <w:iCs/>
          <w:lang w:val="en-US" w:eastAsia="zh-CN"/>
        </w:rPr>
        <w:t>0 [</w:t>
      </w:r>
      <w:r>
        <w:rPr>
          <w:rFonts w:hint="eastAsia"/>
          <w:i w:val="0"/>
          <w:iCs/>
          <w:lang w:val="en-US" w:eastAsia="zh-CN"/>
        </w:rPr>
        <w:t>4</w:t>
      </w:r>
      <w:r>
        <w:rPr>
          <w:rFonts w:hint="eastAsia" w:eastAsia="宋体"/>
          <w:i w:val="0"/>
          <w:iCs/>
          <w:lang w:val="en-US" w:eastAsia="zh-CN"/>
        </w:rPr>
        <w:t>] also studies DO-A capable device registration for Topology 1 and DO-A data transfer aspects</w:t>
      </w:r>
      <w:r>
        <w:rPr>
          <w:rFonts w:hint="eastAsia"/>
          <w:i w:val="0"/>
          <w:iCs/>
          <w:lang w:val="en-US" w:eastAsia="zh-CN"/>
        </w:rPr>
        <w:t>,</w:t>
      </w:r>
      <w:r>
        <w:rPr>
          <w:rFonts w:hint="eastAsia" w:eastAsia="宋体"/>
          <w:i w:val="0"/>
          <w:iCs/>
          <w:lang w:val="en-US" w:eastAsia="zh-CN"/>
        </w:rPr>
        <w:t xml:space="preserve"> and reaches several consensuses in this regard.</w:t>
      </w:r>
    </w:p>
    <w:p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bservation#</w:t>
      </w:r>
      <w:r>
        <w:rPr>
          <w:rFonts w:hint="eastAsia"/>
          <w:b/>
          <w:lang w:val="en-US" w:eastAsia="zh-CN"/>
        </w:rPr>
        <w:t>3</w:t>
      </w:r>
      <w:r>
        <w:rPr>
          <w:lang w:eastAsia="zh-CN"/>
        </w:rPr>
        <w:t xml:space="preserve">: A </w:t>
      </w:r>
      <w:r>
        <w:rPr>
          <w:rFonts w:hint="eastAsia"/>
          <w:lang w:eastAsia="zh-CN"/>
        </w:rPr>
        <w:t>new AIoT Devices that support the DO-A traffic type</w:t>
      </w:r>
      <w:r>
        <w:rPr>
          <w:lang w:eastAsia="zh-CN"/>
        </w:rPr>
        <w:t xml:space="preserve"> will be introduced in R</w:t>
      </w:r>
      <w:r>
        <w:rPr>
          <w:rFonts w:hint="eastAsia"/>
          <w:lang w:val="en-US" w:eastAsia="zh-CN"/>
        </w:rPr>
        <w:t>el-20</w:t>
      </w:r>
      <w:r>
        <w:rPr>
          <w:lang w:eastAsia="zh-CN"/>
        </w:rPr>
        <w:t>.</w:t>
      </w:r>
    </w:p>
    <w:p>
      <w:pPr>
        <w:jc w:val="both"/>
        <w:rPr>
          <w:rFonts w:hint="default"/>
          <w:lang w:val="en-US" w:eastAsia="zh-CN"/>
        </w:rPr>
      </w:pPr>
      <w:r>
        <w:rPr>
          <w:b/>
          <w:lang w:eastAsia="zh-CN"/>
        </w:rPr>
        <w:t>Potential management aspects#</w:t>
      </w:r>
      <w:r>
        <w:rPr>
          <w:rFonts w:hint="eastAsia"/>
          <w:b/>
          <w:lang w:val="en-US" w:eastAsia="zh-CN"/>
        </w:rPr>
        <w:t>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According to Observation#3, it is proposed to enhance the 5GC NRM to configure certain CN NFs (e.g., AIOTF, AMF, NEF, ADM) that support </w:t>
      </w:r>
      <w:r>
        <w:rPr>
          <w:rFonts w:hint="eastAsia"/>
          <w:lang w:val="en-US" w:eastAsia="zh-CN"/>
        </w:rPr>
        <w:t xml:space="preserve">the </w:t>
      </w:r>
      <w:r>
        <w:rPr>
          <w:rFonts w:ascii="Times New Roman" w:hAnsi="Times New Roman" w:eastAsia="等线" w:cs="Times New Roman"/>
        </w:rPr>
        <w:t>featur</w:t>
      </w:r>
      <w:r>
        <w:rPr>
          <w:rFonts w:hint="eastAsia" w:eastAsia="等线" w:cs="Times New Roman"/>
          <w:lang w:val="en-US" w:eastAsia="zh-CN"/>
        </w:rPr>
        <w:t xml:space="preserve">e of </w:t>
      </w:r>
      <w:r>
        <w:rPr>
          <w:rFonts w:hint="eastAsia"/>
          <w:lang w:eastAsia="zh-CN"/>
        </w:rPr>
        <w:t>DO-A capable devices</w:t>
      </w:r>
      <w:r>
        <w:rPr>
          <w:rFonts w:hint="eastAsia"/>
          <w:lang w:val="en-US" w:eastAsia="zh-CN"/>
        </w:rPr>
        <w:t>.</w:t>
      </w:r>
    </w:p>
    <w:p>
      <w:pPr>
        <w:pStyle w:val="5"/>
        <w:rPr>
          <w:rFonts w:hint="default" w:eastAsia="宋体"/>
          <w:lang w:val="en-US" w:eastAsia="zh-CN"/>
        </w:rPr>
      </w:pPr>
      <w:r>
        <w:t>3.2.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erformance measurements</w:t>
      </w:r>
      <w:r>
        <w:rPr>
          <w:rFonts w:hint="eastAsia"/>
          <w:lang w:val="en-US" w:eastAsia="zh-CN"/>
        </w:rPr>
        <w:t xml:space="preserve"> for AIoT </w:t>
      </w:r>
    </w:p>
    <w:p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SA5 TS 28.522 [5] currently includes no relevant research on the performance </w:t>
      </w:r>
      <w:r>
        <w:rPr>
          <w:rFonts w:hint="eastAsia"/>
        </w:rPr>
        <w:t>measurements</w:t>
      </w:r>
      <w:r>
        <w:rPr>
          <w:rFonts w:hint="eastAsia"/>
          <w:i w:val="0"/>
          <w:iCs/>
          <w:lang w:val="en-US" w:eastAsia="zh-CN"/>
        </w:rPr>
        <w:t xml:space="preserve"> of AIoT.</w:t>
      </w:r>
    </w:p>
    <w:p>
      <w:pPr>
        <w:jc w:val="both"/>
        <w:rPr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bservation#</w:t>
      </w:r>
      <w:r>
        <w:rPr>
          <w:rFonts w:hint="eastAsia"/>
          <w:b/>
          <w:lang w:val="en-US"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Some performance measurements</w:t>
      </w:r>
      <w:r>
        <w:rPr>
          <w:rFonts w:hint="eastAsia"/>
          <w:lang w:eastAsia="zh-CN"/>
        </w:rPr>
        <w:t xml:space="preserve"> supporting A-IoT</w:t>
      </w:r>
      <w:r>
        <w:rPr>
          <w:lang w:eastAsia="zh-CN"/>
        </w:rPr>
        <w:t xml:space="preserve"> will be </w:t>
      </w:r>
      <w:r>
        <w:rPr>
          <w:rFonts w:hint="eastAsia"/>
          <w:lang w:val="en-US" w:eastAsia="zh-CN"/>
        </w:rPr>
        <w:t>added</w:t>
      </w:r>
      <w:r>
        <w:rPr>
          <w:lang w:eastAsia="zh-CN"/>
        </w:rPr>
        <w:t xml:space="preserve"> in R</w:t>
      </w:r>
      <w:r>
        <w:rPr>
          <w:rFonts w:hint="eastAsia"/>
          <w:lang w:val="en-US" w:eastAsia="zh-CN"/>
        </w:rPr>
        <w:t>el-20</w:t>
      </w:r>
      <w:r>
        <w:rPr>
          <w:lang w:eastAsia="zh-CN"/>
        </w:rPr>
        <w:t>.</w:t>
      </w:r>
    </w:p>
    <w:p>
      <w:pPr>
        <w:jc w:val="both"/>
        <w:rPr>
          <w:rFonts w:hint="default"/>
          <w:lang w:val="en-US" w:eastAsia="zh-CN"/>
        </w:rPr>
      </w:pPr>
      <w:r>
        <w:rPr>
          <w:b/>
          <w:lang w:eastAsia="zh-CN"/>
        </w:rPr>
        <w:t>Potential management aspects#</w:t>
      </w:r>
      <w:r>
        <w:rPr>
          <w:rFonts w:hint="eastAsia"/>
          <w:b/>
          <w:lang w:val="en-US" w:eastAsia="zh-CN"/>
        </w:rPr>
        <w:t>4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Based on Observation #4, it is proposed to enhance existing measurements or introduce new measurements for the RAN and 5GC to support AIoT, including but not limited to AIOTF performance measurements, RRC connection-related measurements and UE-reader function-related measurements.</w:t>
      </w:r>
    </w:p>
    <w:p>
      <w:pPr>
        <w:rPr>
          <w:rFonts w:hint="default"/>
          <w:i w:val="0"/>
          <w:iCs/>
          <w:lang w:val="en-US" w:eastAsia="zh-CN"/>
        </w:rPr>
      </w:pP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to endorse following statements:</w:t>
      </w:r>
    </w:p>
    <w:p>
      <w:pPr>
        <w:rPr>
          <w:highlight w:val="none"/>
          <w:lang w:eastAsia="zh-CN"/>
        </w:rPr>
      </w:pPr>
      <w:r>
        <w:rPr>
          <w:b/>
          <w:highlight w:val="none"/>
          <w:lang w:eastAsia="zh-CN"/>
        </w:rPr>
        <w:t>Proposal#</w:t>
      </w:r>
      <w:r>
        <w:rPr>
          <w:rFonts w:hint="eastAsia"/>
          <w:b/>
          <w:highlight w:val="none"/>
          <w:lang w:eastAsia="zh-CN"/>
        </w:rPr>
        <w:t>1</w:t>
      </w:r>
      <w:r>
        <w:rPr>
          <w:highlight w:val="none"/>
          <w:lang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>Propose</w:t>
      </w:r>
      <w:r>
        <w:rPr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AIoT</w:t>
      </w:r>
      <w:r>
        <w:rPr>
          <w:highlight w:val="none"/>
          <w:lang w:eastAsia="zh-CN"/>
        </w:rPr>
        <w:t xml:space="preserve"> WID to capture </w:t>
      </w:r>
      <w:r>
        <w:rPr>
          <w:rFonts w:hint="eastAsia"/>
          <w:highlight w:val="none"/>
          <w:lang w:val="en-US" w:eastAsia="zh-CN"/>
        </w:rPr>
        <w:t>management</w:t>
      </w:r>
      <w:r>
        <w:rPr>
          <w:highlight w:val="none"/>
          <w:lang w:eastAsia="zh-CN"/>
        </w:rPr>
        <w:t xml:space="preserve"> enhancement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rFonts w:hint="eastAsia"/>
          <w:i w:val="0"/>
          <w:iCs/>
          <w:highlight w:val="none"/>
          <w:lang w:val="en-US" w:eastAsia="zh-CN"/>
        </w:rPr>
        <w:t xml:space="preserve">performance </w:t>
      </w:r>
      <w:r>
        <w:rPr>
          <w:rFonts w:hint="eastAsia"/>
          <w:highlight w:val="none"/>
        </w:rPr>
        <w:t>measurements</w:t>
      </w:r>
      <w:r>
        <w:rPr>
          <w:highlight w:val="none"/>
          <w:lang w:eastAsia="zh-CN"/>
        </w:rPr>
        <w:t xml:space="preserve"> supporting Rel-</w:t>
      </w:r>
      <w:r>
        <w:rPr>
          <w:rFonts w:hint="eastAsia"/>
          <w:highlight w:val="none"/>
          <w:lang w:val="en-US" w:eastAsia="zh-CN"/>
        </w:rPr>
        <w:t>20</w:t>
      </w:r>
      <w:r>
        <w:rPr>
          <w:highlight w:val="none"/>
          <w:lang w:eastAsia="zh-CN"/>
        </w:rPr>
        <w:t xml:space="preserve"> AIoT feature.</w:t>
      </w:r>
    </w:p>
    <w:p>
      <w:pPr>
        <w:rPr>
          <w:highlight w:val="none"/>
          <w:lang w:eastAsia="zh-CN"/>
        </w:rPr>
      </w:pPr>
      <w:r>
        <w:rPr>
          <w:b/>
          <w:highlight w:val="none"/>
          <w:lang w:eastAsia="zh-CN"/>
        </w:rPr>
        <w:t>Proposal#2</w:t>
      </w:r>
      <w:r>
        <w:rPr>
          <w:highlight w:val="none"/>
          <w:lang w:eastAsia="zh-CN"/>
        </w:rPr>
        <w:t xml:space="preserve">. Endorse Potential management aspects#1, #2 </w:t>
      </w:r>
      <w:r>
        <w:rPr>
          <w:rFonts w:hint="eastAsia"/>
          <w:highlight w:val="none"/>
          <w:lang w:val="en-US" w:eastAsia="zh-CN"/>
        </w:rPr>
        <w:t>,</w:t>
      </w:r>
      <w:r>
        <w:rPr>
          <w:highlight w:val="none"/>
          <w:lang w:eastAsia="zh-CN"/>
        </w:rPr>
        <w:t xml:space="preserve"> #3 </w:t>
      </w:r>
      <w:r>
        <w:rPr>
          <w:rFonts w:hint="eastAsia"/>
          <w:highlight w:val="none"/>
          <w:lang w:val="en-US" w:eastAsia="zh-CN"/>
        </w:rPr>
        <w:t xml:space="preserve">and </w:t>
      </w:r>
      <w:r>
        <w:rPr>
          <w:highlight w:val="none"/>
          <w:lang w:eastAsia="zh-CN"/>
        </w:rPr>
        <w:t>#</w:t>
      </w:r>
      <w:r>
        <w:rPr>
          <w:rFonts w:hint="eastAsia"/>
          <w:highlight w:val="none"/>
          <w:lang w:val="en-US" w:eastAsia="zh-CN"/>
        </w:rPr>
        <w:t xml:space="preserve">4 </w:t>
      </w:r>
      <w:r>
        <w:rPr>
          <w:highlight w:val="none"/>
          <w:lang w:eastAsia="zh-CN"/>
        </w:rPr>
        <w:t xml:space="preserve">as guidance for </w:t>
      </w:r>
      <w:r>
        <w:rPr>
          <w:rFonts w:hint="eastAsia"/>
          <w:highlight w:val="none"/>
          <w:lang w:val="en-US" w:eastAsia="zh-CN"/>
        </w:rPr>
        <w:t>management</w:t>
      </w:r>
      <w:r>
        <w:rPr>
          <w:highlight w:val="none"/>
          <w:lang w:eastAsia="zh-CN"/>
        </w:rPr>
        <w:t xml:space="preserve"> enhancement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rFonts w:hint="eastAsia"/>
          <w:i w:val="0"/>
          <w:iCs/>
          <w:highlight w:val="none"/>
          <w:lang w:val="en-US" w:eastAsia="zh-CN"/>
        </w:rPr>
        <w:t xml:space="preserve">performance </w:t>
      </w:r>
      <w:r>
        <w:rPr>
          <w:rFonts w:hint="eastAsia"/>
          <w:highlight w:val="none"/>
        </w:rPr>
        <w:t>measurements</w:t>
      </w:r>
      <w:r>
        <w:rPr>
          <w:highlight w:val="none"/>
          <w:lang w:eastAsia="zh-CN"/>
        </w:rPr>
        <w:t xml:space="preserve"> supporting Rel-</w:t>
      </w:r>
      <w:r>
        <w:rPr>
          <w:rFonts w:hint="eastAsia"/>
          <w:highlight w:val="none"/>
          <w:lang w:val="en-US" w:eastAsia="zh-CN"/>
        </w:rPr>
        <w:t>20</w:t>
      </w:r>
      <w:r>
        <w:rPr>
          <w:highlight w:val="none"/>
          <w:lang w:eastAsia="zh-CN"/>
        </w:rPr>
        <w:t xml:space="preserve"> A-IoT feature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zh-CN"/>
        </w:rPr>
        <w:t xml:space="preserve"> based on the normative progress of RAN WGs and SA2.</w:t>
      </w:r>
    </w:p>
    <w:p>
      <w:pPr>
        <w:rPr>
          <w:rFonts w:hint="eastAsia"/>
          <w:i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3FCAE2"/>
    <w:multiLevelType w:val="singleLevel"/>
    <w:tmpl w:val="043FCAE2"/>
    <w:lvl w:ilvl="0" w:tentative="0">
      <w:start w:val="1"/>
      <w:numFmt w:val="decimal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30A3"/>
    <w:rsid w:val="00046389"/>
    <w:rsid w:val="0006222D"/>
    <w:rsid w:val="00074722"/>
    <w:rsid w:val="0008083D"/>
    <w:rsid w:val="000819D8"/>
    <w:rsid w:val="00085D0B"/>
    <w:rsid w:val="000934A6"/>
    <w:rsid w:val="000A0B30"/>
    <w:rsid w:val="000A2C6C"/>
    <w:rsid w:val="000A4660"/>
    <w:rsid w:val="000D1B5B"/>
    <w:rsid w:val="000E626A"/>
    <w:rsid w:val="0010401F"/>
    <w:rsid w:val="00112FC3"/>
    <w:rsid w:val="001152C8"/>
    <w:rsid w:val="001343B4"/>
    <w:rsid w:val="00147E06"/>
    <w:rsid w:val="00162676"/>
    <w:rsid w:val="00173FA3"/>
    <w:rsid w:val="00181659"/>
    <w:rsid w:val="001822A8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1632F"/>
    <w:rsid w:val="00424E78"/>
    <w:rsid w:val="00440414"/>
    <w:rsid w:val="00453058"/>
    <w:rsid w:val="004558E9"/>
    <w:rsid w:val="0045777E"/>
    <w:rsid w:val="004A151A"/>
    <w:rsid w:val="004B3753"/>
    <w:rsid w:val="004C31D2"/>
    <w:rsid w:val="004D55C2"/>
    <w:rsid w:val="004F0E5C"/>
    <w:rsid w:val="004F58D4"/>
    <w:rsid w:val="004F5A0A"/>
    <w:rsid w:val="00505FA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9227B"/>
    <w:rsid w:val="005B0966"/>
    <w:rsid w:val="005B795D"/>
    <w:rsid w:val="00610508"/>
    <w:rsid w:val="00613820"/>
    <w:rsid w:val="00630609"/>
    <w:rsid w:val="00645C90"/>
    <w:rsid w:val="00652248"/>
    <w:rsid w:val="00657B80"/>
    <w:rsid w:val="0067588F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326E1"/>
    <w:rsid w:val="00947F4E"/>
    <w:rsid w:val="00966D47"/>
    <w:rsid w:val="00992312"/>
    <w:rsid w:val="009A45F7"/>
    <w:rsid w:val="009C0DED"/>
    <w:rsid w:val="009D53AD"/>
    <w:rsid w:val="00A004B4"/>
    <w:rsid w:val="00A117D5"/>
    <w:rsid w:val="00A20ED6"/>
    <w:rsid w:val="00A30353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472D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932A0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073D4"/>
    <w:rsid w:val="00E30155"/>
    <w:rsid w:val="00E67ABE"/>
    <w:rsid w:val="00E82D8D"/>
    <w:rsid w:val="00E91FE1"/>
    <w:rsid w:val="00EA5E95"/>
    <w:rsid w:val="00ED4954"/>
    <w:rsid w:val="00ED5A43"/>
    <w:rsid w:val="00EE0943"/>
    <w:rsid w:val="00EE33A2"/>
    <w:rsid w:val="00EF2882"/>
    <w:rsid w:val="00F526B6"/>
    <w:rsid w:val="00F67A1C"/>
    <w:rsid w:val="00F7493F"/>
    <w:rsid w:val="00F82C5B"/>
    <w:rsid w:val="00F85325"/>
    <w:rsid w:val="00F8555F"/>
    <w:rsid w:val="00F926D4"/>
    <w:rsid w:val="00FB0B3F"/>
    <w:rsid w:val="00FB3E36"/>
    <w:rsid w:val="00FE6F70"/>
    <w:rsid w:val="00FF4910"/>
    <w:rsid w:val="093A10B1"/>
    <w:rsid w:val="13E86A02"/>
    <w:rsid w:val="1AF25141"/>
    <w:rsid w:val="1C45368A"/>
    <w:rsid w:val="236E71E0"/>
    <w:rsid w:val="26C2328E"/>
    <w:rsid w:val="503D4EBF"/>
    <w:rsid w:val="597B5AFE"/>
    <w:rsid w:val="64F975BE"/>
    <w:rsid w:val="6956147C"/>
    <w:rsid w:val="6B745BDA"/>
    <w:rsid w:val="6C802C0E"/>
    <w:rsid w:val="6D045972"/>
    <w:rsid w:val="6D9D0662"/>
    <w:rsid w:val="77154962"/>
    <w:rsid w:val="77C74D39"/>
    <w:rsid w:val="78C50072"/>
    <w:rsid w:val="7E4F51C9"/>
    <w:rsid w:val="7F17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3.vsdx"/><Relationship Id="rId8" Type="http://schemas.openxmlformats.org/officeDocument/2006/relationships/image" Target="media/image2.emf"/><Relationship Id="rId7" Type="http://schemas.openxmlformats.org/officeDocument/2006/relationships/package" Target="embeddings/Microsoft_Visio___2.vsdx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119</Words>
  <Characters>680</Characters>
  <Lines>5</Lines>
  <Paragraphs>1</Paragraphs>
  <TotalTime>0</TotalTime>
  <ScaleCrop>false</ScaleCrop>
  <LinksUpToDate>false</LinksUpToDate>
  <CharactersWithSpaces>798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CU2</cp:lastModifiedBy>
  <cp:lastPrinted>2411-12-31T23:00:00Z</cp:lastPrinted>
  <dcterms:modified xsi:type="dcterms:W3CDTF">2026-01-30T13:17:36Z</dcterms:modified>
  <dc:title>3GPP Contribution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2052-11.8.2.12085</vt:lpwstr>
  </property>
  <property fmtid="{D5CDD505-2E9C-101B-9397-08002B2CF9AE}" pid="5" name="ICV">
    <vt:lpwstr>69179C931E794A249E93E7D49BF67CAB_12</vt:lpwstr>
  </property>
</Properties>
</file>